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FC" w:rsidRPr="00BB41C4" w:rsidRDefault="007301FC" w:rsidP="007301FC">
      <w:pPr>
        <w:pStyle w:val="Heading1"/>
        <w:rPr>
          <w:rFonts w:ascii="Arial" w:eastAsia="Times New Roman" w:hAnsi="Arial" w:cs="Arial"/>
          <w:sz w:val="22"/>
          <w:szCs w:val="22"/>
        </w:rPr>
      </w:pPr>
      <w:r w:rsidRPr="00BB41C4">
        <w:rPr>
          <w:rFonts w:ascii="Arial" w:eastAsia="Times New Roman" w:hAnsi="Arial" w:cs="Arial"/>
          <w:sz w:val="22"/>
          <w:szCs w:val="22"/>
        </w:rPr>
        <w:t>The Literacy and Dyslexia-SpLD Professional Development Fr</w:t>
      </w:r>
      <w:r w:rsidR="004D14C2">
        <w:rPr>
          <w:rFonts w:ascii="Arial" w:eastAsia="Times New Roman" w:hAnsi="Arial" w:cs="Arial"/>
          <w:sz w:val="22"/>
          <w:szCs w:val="22"/>
        </w:rPr>
        <w:t>amework ITT training materials</w:t>
      </w:r>
    </w:p>
    <w:p w:rsidR="007301FC" w:rsidRPr="00BB41C4" w:rsidRDefault="007301FC" w:rsidP="007301FC">
      <w:pPr>
        <w:pStyle w:val="Heading2"/>
        <w:rPr>
          <w:rFonts w:ascii="Arial" w:hAnsi="Arial" w:cs="Arial"/>
          <w:sz w:val="22"/>
          <w:szCs w:val="22"/>
        </w:rPr>
      </w:pPr>
      <w:r w:rsidRPr="00BB41C4">
        <w:rPr>
          <w:rFonts w:ascii="Arial" w:hAnsi="Arial" w:cs="Arial"/>
          <w:sz w:val="22"/>
          <w:szCs w:val="22"/>
        </w:rPr>
        <w:t>Background and Track Record</w:t>
      </w:r>
    </w:p>
    <w:p w:rsidR="007301FC" w:rsidRPr="00BB41C4" w:rsidRDefault="007301FC" w:rsidP="007301FC">
      <w:pPr>
        <w:rPr>
          <w:rFonts w:ascii="Arial" w:hAnsi="Arial" w:cs="Arial"/>
        </w:rPr>
      </w:pPr>
      <w:r w:rsidRPr="00BB41C4">
        <w:rPr>
          <w:rFonts w:ascii="Arial" w:hAnsi="Arial" w:cs="Arial"/>
        </w:rPr>
        <w:t xml:space="preserve">The Literacy and Dyslexia-SpLD Professional Development Framework is a free online resource, commissioned by the Department for Education. It can be accessed from The Dyslexia-SpLD Trust’s website or directly at </w:t>
      </w:r>
      <w:hyperlink r:id="rId7" w:history="1">
        <w:r w:rsidRPr="00BB41C4">
          <w:rPr>
            <w:rStyle w:val="Hyperlink"/>
            <w:rFonts w:ascii="Arial" w:hAnsi="Arial" w:cs="Arial"/>
          </w:rPr>
          <w:t>http://framework.thedyslexia-spldtrust.org.uk/</w:t>
        </w:r>
      </w:hyperlink>
      <w:r w:rsidRPr="00BB41C4">
        <w:rPr>
          <w:rFonts w:ascii="Arial" w:hAnsi="Arial" w:cs="Arial"/>
        </w:rPr>
        <w:t xml:space="preserve"> </w:t>
      </w:r>
    </w:p>
    <w:p w:rsidR="007301FC" w:rsidRPr="00BB41C4" w:rsidRDefault="007301FC" w:rsidP="007301FC">
      <w:pPr>
        <w:rPr>
          <w:rFonts w:ascii="Arial" w:hAnsi="Arial" w:cs="Arial"/>
        </w:rPr>
      </w:pPr>
      <w:r w:rsidRPr="00BB41C4">
        <w:rPr>
          <w:rFonts w:ascii="Arial" w:hAnsi="Arial" w:cs="Arial"/>
        </w:rPr>
        <w:t>The Framework has been designed under leadership of PATOSS and Dyslexia Action and offers the practitioner a complete road map of expected skills and knowledge required to work effectively with the Dyslexic learner or those with generalised literacy difficulties. The Framework can be used as a self assessment tool to identify CPD needs or as a way of filtering resources according to topic or level of knowledge required.</w:t>
      </w:r>
    </w:p>
    <w:p w:rsidR="00BB41C4" w:rsidRPr="00BB41C4" w:rsidRDefault="007301FC" w:rsidP="007301FC">
      <w:pPr>
        <w:rPr>
          <w:rFonts w:ascii="Arial" w:hAnsi="Arial" w:cs="Arial"/>
        </w:rPr>
      </w:pPr>
      <w:r w:rsidRPr="00BB41C4">
        <w:rPr>
          <w:rFonts w:ascii="Arial" w:hAnsi="Arial" w:cs="Arial"/>
        </w:rPr>
        <w:t xml:space="preserve">Training providers may also use the entire Framework (available as a Word Document on the site) to develop new courses, such as were developed by Swindon Local Authority. Other training providers (OCR, University of Roehampton, Institute of Education, </w:t>
      </w:r>
      <w:proofErr w:type="gramStart"/>
      <w:r w:rsidRPr="00BB41C4">
        <w:rPr>
          <w:rFonts w:ascii="Arial" w:hAnsi="Arial" w:cs="Arial"/>
        </w:rPr>
        <w:t>University</w:t>
      </w:r>
      <w:proofErr w:type="gramEnd"/>
      <w:r w:rsidRPr="00BB41C4">
        <w:rPr>
          <w:rFonts w:ascii="Arial" w:hAnsi="Arial" w:cs="Arial"/>
        </w:rPr>
        <w:t xml:space="preserve"> of London) have used the self-assessment tool to ‘benchmark’ students’ knowledge before and after receiving training.</w:t>
      </w:r>
      <w:r w:rsidR="00BB41C4" w:rsidRPr="00BB41C4">
        <w:rPr>
          <w:rFonts w:ascii="Arial" w:hAnsi="Arial" w:cs="Arial"/>
        </w:rPr>
        <w:t xml:space="preserve"> </w:t>
      </w:r>
    </w:p>
    <w:p w:rsidR="007301FC" w:rsidRPr="00BB41C4" w:rsidRDefault="007301FC" w:rsidP="007301FC">
      <w:pPr>
        <w:rPr>
          <w:rFonts w:ascii="Arial" w:hAnsi="Arial" w:cs="Arial"/>
        </w:rPr>
      </w:pPr>
      <w:r w:rsidRPr="00BB41C4">
        <w:rPr>
          <w:rFonts w:ascii="Arial" w:hAnsi="Arial" w:cs="Arial"/>
        </w:rPr>
        <w:t>The Framework is split into six strands of knowledge and at five different levels according to type of job role</w:t>
      </w:r>
      <w:r w:rsidR="00BB41C4" w:rsidRPr="00BB41C4">
        <w:rPr>
          <w:rFonts w:ascii="Arial" w:hAnsi="Arial" w:cs="Arial"/>
        </w:rPr>
        <w:t xml:space="preserve"> within the educational setting:</w:t>
      </w:r>
    </w:p>
    <w:p w:rsidR="007301FC" w:rsidRPr="00BB41C4" w:rsidRDefault="007301FC" w:rsidP="007301FC">
      <w:pPr>
        <w:pStyle w:val="Heading3"/>
        <w:rPr>
          <w:rFonts w:ascii="Arial" w:hAnsi="Arial" w:cs="Arial"/>
        </w:rPr>
      </w:pPr>
      <w:r w:rsidRPr="00BB41C4">
        <w:rPr>
          <w:rFonts w:ascii="Arial" w:hAnsi="Arial" w:cs="Arial"/>
        </w:rPr>
        <w:t>The six strands:</w:t>
      </w:r>
    </w:p>
    <w:p w:rsidR="007301FC" w:rsidRPr="00BB41C4" w:rsidRDefault="007301FC" w:rsidP="007301F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B41C4">
        <w:rPr>
          <w:rFonts w:ascii="Arial" w:hAnsi="Arial" w:cs="Arial"/>
          <w:color w:val="000000"/>
        </w:rPr>
        <w:t>Structure and development of language, literacy and learning</w:t>
      </w:r>
      <w:r w:rsidRPr="00BB41C4">
        <w:rPr>
          <w:rFonts w:ascii="Arial" w:hAnsi="Arial" w:cs="Arial"/>
        </w:rPr>
        <w:t xml:space="preserve"> </w:t>
      </w:r>
    </w:p>
    <w:p w:rsidR="007301FC" w:rsidRPr="00BB41C4" w:rsidRDefault="007301FC" w:rsidP="007301F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B41C4">
        <w:rPr>
          <w:rFonts w:ascii="Arial" w:hAnsi="Arial" w:cs="Arial"/>
          <w:color w:val="000000"/>
        </w:rPr>
        <w:t>Theories of dyslexia/SpLD and theories of specialist teaching</w:t>
      </w:r>
      <w:r w:rsidRPr="00BB41C4">
        <w:rPr>
          <w:rFonts w:ascii="Arial" w:hAnsi="Arial" w:cs="Arial"/>
        </w:rPr>
        <w:t xml:space="preserve"> </w:t>
      </w:r>
    </w:p>
    <w:p w:rsidR="007301FC" w:rsidRPr="00BB41C4" w:rsidRDefault="007301FC" w:rsidP="007301F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B41C4">
        <w:rPr>
          <w:rFonts w:ascii="Arial" w:hAnsi="Arial" w:cs="Arial"/>
          <w:bCs/>
          <w:color w:val="000000"/>
        </w:rPr>
        <w:t>Identifying and assessing dyslexia/specific learning difficulties</w:t>
      </w:r>
      <w:r w:rsidRPr="00BB41C4">
        <w:rPr>
          <w:rFonts w:ascii="Arial" w:hAnsi="Arial" w:cs="Arial"/>
        </w:rPr>
        <w:t xml:space="preserve"> </w:t>
      </w:r>
    </w:p>
    <w:p w:rsidR="007301FC" w:rsidRPr="00BB41C4" w:rsidRDefault="007301FC" w:rsidP="007301F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B41C4">
        <w:rPr>
          <w:rFonts w:ascii="Arial" w:hAnsi="Arial" w:cs="Arial"/>
          <w:bCs/>
          <w:color w:val="000000"/>
        </w:rPr>
        <w:t>Teaching and supporting learners with dyslexia/specific learning difficulties</w:t>
      </w:r>
      <w:r w:rsidRPr="00BB41C4">
        <w:rPr>
          <w:rFonts w:ascii="Arial" w:hAnsi="Arial" w:cs="Arial"/>
        </w:rPr>
        <w:t xml:space="preserve"> </w:t>
      </w:r>
    </w:p>
    <w:p w:rsidR="007301FC" w:rsidRPr="00BB41C4" w:rsidRDefault="007301FC" w:rsidP="007301F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B41C4">
        <w:rPr>
          <w:rFonts w:ascii="Arial" w:hAnsi="Arial" w:cs="Arial"/>
        </w:rPr>
        <w:t>Communicating and working with others</w:t>
      </w:r>
    </w:p>
    <w:p w:rsidR="00BB41C4" w:rsidRPr="00BB41C4" w:rsidRDefault="007301FC" w:rsidP="007301F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B41C4">
        <w:rPr>
          <w:rFonts w:ascii="Arial" w:hAnsi="Arial" w:cs="Arial"/>
          <w:bCs/>
          <w:color w:val="000000"/>
        </w:rPr>
        <w:t>Professional development and dyslexia/SpLD</w:t>
      </w:r>
      <w:r w:rsidRPr="00BB41C4">
        <w:rPr>
          <w:rFonts w:ascii="Arial" w:hAnsi="Arial" w:cs="Arial"/>
          <w:b/>
          <w:color w:val="000000"/>
        </w:rPr>
        <w:t xml:space="preserve"> </w:t>
      </w:r>
    </w:p>
    <w:p w:rsidR="00BB41C4" w:rsidRDefault="00BB41C4" w:rsidP="007301FC">
      <w:pPr>
        <w:pStyle w:val="Heading3"/>
        <w:rPr>
          <w:rFonts w:ascii="Arial" w:hAnsi="Arial" w:cs="Arial"/>
        </w:rPr>
      </w:pPr>
    </w:p>
    <w:p w:rsidR="00BB41C4" w:rsidRDefault="00BB41C4" w:rsidP="007301FC">
      <w:pPr>
        <w:pStyle w:val="Heading3"/>
        <w:rPr>
          <w:rFonts w:ascii="Arial" w:hAnsi="Arial" w:cs="Arial"/>
        </w:rPr>
      </w:pPr>
    </w:p>
    <w:p w:rsidR="00BB41C4" w:rsidRDefault="00BB41C4" w:rsidP="007301FC">
      <w:pPr>
        <w:pStyle w:val="Heading3"/>
        <w:rPr>
          <w:rFonts w:ascii="Arial" w:hAnsi="Arial" w:cs="Arial"/>
        </w:rPr>
      </w:pPr>
    </w:p>
    <w:p w:rsidR="00BB41C4" w:rsidRDefault="00BB41C4" w:rsidP="007301FC">
      <w:pPr>
        <w:pStyle w:val="Heading3"/>
        <w:rPr>
          <w:rFonts w:ascii="Arial" w:hAnsi="Arial" w:cs="Arial"/>
        </w:rPr>
      </w:pPr>
    </w:p>
    <w:p w:rsidR="00BB41C4" w:rsidRDefault="00BB41C4" w:rsidP="007301FC">
      <w:pPr>
        <w:pStyle w:val="Heading3"/>
        <w:rPr>
          <w:rFonts w:ascii="Arial" w:hAnsi="Arial" w:cs="Arial"/>
        </w:rPr>
      </w:pPr>
    </w:p>
    <w:p w:rsidR="00BB41C4" w:rsidRDefault="00BB41C4" w:rsidP="007301FC">
      <w:pPr>
        <w:pStyle w:val="Heading3"/>
        <w:rPr>
          <w:rFonts w:ascii="Arial" w:hAnsi="Arial" w:cs="Arial"/>
        </w:rPr>
      </w:pPr>
    </w:p>
    <w:p w:rsidR="00BB41C4" w:rsidRDefault="00BB41C4" w:rsidP="007301FC">
      <w:pPr>
        <w:pStyle w:val="Heading3"/>
        <w:rPr>
          <w:rFonts w:ascii="Arial" w:hAnsi="Arial" w:cs="Arial"/>
        </w:rPr>
      </w:pPr>
    </w:p>
    <w:p w:rsidR="00BB41C4" w:rsidRDefault="00BB41C4" w:rsidP="007301FC">
      <w:pPr>
        <w:pStyle w:val="Heading3"/>
        <w:rPr>
          <w:rFonts w:ascii="Arial" w:hAnsi="Arial" w:cs="Arial"/>
        </w:rPr>
      </w:pPr>
    </w:p>
    <w:p w:rsidR="00BB41C4" w:rsidRDefault="00BB41C4" w:rsidP="00BB41C4"/>
    <w:p w:rsidR="00BB41C4" w:rsidRDefault="00BB41C4" w:rsidP="00BB41C4"/>
    <w:p w:rsidR="007301FC" w:rsidRPr="00BB41C4" w:rsidRDefault="007301FC" w:rsidP="00BB41C4">
      <w:pPr>
        <w:rPr>
          <w:rFonts w:ascii="Arial" w:hAnsi="Arial" w:cs="Arial"/>
          <w:b/>
        </w:rPr>
      </w:pPr>
      <w:r w:rsidRPr="00BB41C4">
        <w:rPr>
          <w:rFonts w:ascii="Arial" w:hAnsi="Arial" w:cs="Arial"/>
          <w:b/>
        </w:rPr>
        <w:t>Stages and corresponding roles: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6662"/>
      </w:tblGrid>
      <w:tr w:rsidR="007301FC" w:rsidRPr="00BB41C4" w:rsidTr="009E553D">
        <w:trPr>
          <w:trHeight w:val="366"/>
          <w:jc w:val="center"/>
        </w:trPr>
        <w:tc>
          <w:tcPr>
            <w:tcW w:w="1135" w:type="dxa"/>
            <w:tcBorders>
              <w:bottom w:val="single" w:sz="4" w:space="0" w:color="000000"/>
              <w:right w:val="single" w:sz="4" w:space="0" w:color="auto"/>
            </w:tcBorders>
          </w:tcPr>
          <w:p w:rsidR="007301FC" w:rsidRPr="00BB41C4" w:rsidRDefault="007301FC" w:rsidP="009E55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OLE_LINK1"/>
            <w:bookmarkStart w:id="1" w:name="OLE_LINK2"/>
            <w:r w:rsidRPr="00BB41C4">
              <w:rPr>
                <w:rFonts w:ascii="Arial" w:hAnsi="Arial" w:cs="Arial"/>
                <w:b/>
                <w:bCs/>
                <w:color w:val="000000"/>
              </w:rPr>
              <w:t>Stages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7301FC" w:rsidRPr="00BB41C4" w:rsidRDefault="007301FC" w:rsidP="009E55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41C4">
              <w:rPr>
                <w:rFonts w:ascii="Arial" w:hAnsi="Arial" w:cs="Arial"/>
                <w:b/>
                <w:bCs/>
                <w:color w:val="000000"/>
              </w:rPr>
              <w:t>Type of Support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7301FC" w:rsidRPr="00BB41C4" w:rsidRDefault="007301FC" w:rsidP="009E553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B41C4">
              <w:rPr>
                <w:rFonts w:ascii="Arial" w:hAnsi="Arial" w:cs="Arial"/>
                <w:b/>
                <w:bCs/>
                <w:color w:val="000000"/>
              </w:rPr>
              <w:t>Professionals</w:t>
            </w:r>
          </w:p>
        </w:tc>
      </w:tr>
      <w:tr w:rsidR="007301FC" w:rsidRPr="00BB41C4" w:rsidTr="009E553D">
        <w:trPr>
          <w:jc w:val="center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301FC" w:rsidRPr="00BB41C4" w:rsidRDefault="007301FC" w:rsidP="009E55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 xml:space="preserve">Stage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5B8B7"/>
            <w:vAlign w:val="center"/>
          </w:tcPr>
          <w:p w:rsidR="007301FC" w:rsidRPr="00BB41C4" w:rsidRDefault="007301FC" w:rsidP="009E55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Universal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7301FC" w:rsidRPr="00BB41C4" w:rsidRDefault="007301FC" w:rsidP="007301FC">
            <w:pPr>
              <w:numPr>
                <w:ilvl w:val="0"/>
                <w:numId w:val="14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 xml:space="preserve">All staff teaching and supporting learners in all levels of educational setting </w:t>
            </w:r>
          </w:p>
        </w:tc>
      </w:tr>
      <w:tr w:rsidR="007301FC" w:rsidRPr="00BB41C4" w:rsidTr="009E553D">
        <w:trPr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301FC" w:rsidRPr="00BB41C4" w:rsidRDefault="007301FC" w:rsidP="009E55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 xml:space="preserve">Stage 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8CCE4"/>
            <w:vAlign w:val="center"/>
          </w:tcPr>
          <w:p w:rsidR="007301FC" w:rsidRPr="00BB41C4" w:rsidRDefault="007301FC" w:rsidP="009E55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Targeted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7301FC" w:rsidRPr="00BB41C4" w:rsidRDefault="007301FC" w:rsidP="007301FC">
            <w:pPr>
              <w:numPr>
                <w:ilvl w:val="0"/>
                <w:numId w:val="14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 xml:space="preserve">Practitioners confident with planning, preparing and teaching with a range of targeted specialist and differentiated resources. </w:t>
            </w:r>
          </w:p>
          <w:p w:rsidR="007301FC" w:rsidRPr="00BB41C4" w:rsidRDefault="007301FC" w:rsidP="007301FC">
            <w:pPr>
              <w:numPr>
                <w:ilvl w:val="0"/>
                <w:numId w:val="14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Practitioners in specialist settings</w:t>
            </w:r>
          </w:p>
        </w:tc>
      </w:tr>
      <w:tr w:rsidR="007301FC" w:rsidRPr="00BB41C4" w:rsidTr="009E553D">
        <w:trPr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7301FC" w:rsidRPr="00BB41C4" w:rsidRDefault="007301FC" w:rsidP="009E55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Stage 3</w:t>
            </w:r>
          </w:p>
          <w:p w:rsidR="007301FC" w:rsidRPr="00BB41C4" w:rsidRDefault="007301FC" w:rsidP="009E55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7301FC" w:rsidRPr="00BB41C4" w:rsidRDefault="007301FC" w:rsidP="009E55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Targeted Strategic</w:t>
            </w:r>
          </w:p>
          <w:p w:rsidR="007301FC" w:rsidRPr="00BB41C4" w:rsidRDefault="007301FC" w:rsidP="009E55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7301FC" w:rsidRPr="00BB41C4" w:rsidRDefault="007301FC" w:rsidP="007301FC">
            <w:pPr>
              <w:numPr>
                <w:ilvl w:val="0"/>
                <w:numId w:val="15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Higher Level Teaching/Special Assistant in all settings</w:t>
            </w:r>
          </w:p>
          <w:p w:rsidR="007301FC" w:rsidRPr="00BB41C4" w:rsidRDefault="007301FC" w:rsidP="007301FC">
            <w:pPr>
              <w:numPr>
                <w:ilvl w:val="0"/>
                <w:numId w:val="15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 xml:space="preserve">SEN Teacher </w:t>
            </w:r>
          </w:p>
          <w:p w:rsidR="007301FC" w:rsidRPr="00BB41C4" w:rsidRDefault="007301FC" w:rsidP="007301FC">
            <w:pPr>
              <w:numPr>
                <w:ilvl w:val="0"/>
                <w:numId w:val="15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SENCo</w:t>
            </w:r>
          </w:p>
          <w:p w:rsidR="007301FC" w:rsidRPr="00BB41C4" w:rsidRDefault="007301FC" w:rsidP="007301FC">
            <w:pPr>
              <w:numPr>
                <w:ilvl w:val="0"/>
                <w:numId w:val="15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Teacher in main stream seeking to specialise in dyslexia/SpLD</w:t>
            </w:r>
          </w:p>
          <w:p w:rsidR="007301FC" w:rsidRPr="00BB41C4" w:rsidRDefault="007301FC" w:rsidP="007301FC">
            <w:pPr>
              <w:numPr>
                <w:ilvl w:val="0"/>
                <w:numId w:val="15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CPD leader for teaching schools</w:t>
            </w:r>
          </w:p>
        </w:tc>
      </w:tr>
      <w:tr w:rsidR="007301FC" w:rsidRPr="00BB41C4" w:rsidTr="009E553D">
        <w:trPr>
          <w:jc w:val="center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301FC" w:rsidRPr="00BB41C4" w:rsidRDefault="007301FC" w:rsidP="009E55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Stage 4</w:t>
            </w:r>
          </w:p>
          <w:p w:rsidR="007301FC" w:rsidRPr="00BB41C4" w:rsidRDefault="007301FC" w:rsidP="009E55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301FC" w:rsidRPr="00BB41C4" w:rsidRDefault="007301FC" w:rsidP="009E55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7301FC" w:rsidRPr="00BB41C4" w:rsidRDefault="007301FC" w:rsidP="009E55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Specialist</w:t>
            </w:r>
          </w:p>
          <w:p w:rsidR="007301FC" w:rsidRPr="00BB41C4" w:rsidRDefault="007301FC" w:rsidP="009E55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301FC" w:rsidRPr="00BB41C4" w:rsidRDefault="007301FC" w:rsidP="007301FC">
            <w:pPr>
              <w:numPr>
                <w:ilvl w:val="0"/>
                <w:numId w:val="16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Dyslexia/SpLD Specialist Teacher</w:t>
            </w:r>
          </w:p>
          <w:p w:rsidR="007301FC" w:rsidRPr="00BB41C4" w:rsidRDefault="007301FC" w:rsidP="007301FC">
            <w:pPr>
              <w:numPr>
                <w:ilvl w:val="0"/>
                <w:numId w:val="16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Dyslexia/SpLD Advisory Teacher</w:t>
            </w:r>
          </w:p>
          <w:p w:rsidR="007301FC" w:rsidRPr="00BB41C4" w:rsidRDefault="007301FC" w:rsidP="007301FC">
            <w:pPr>
              <w:numPr>
                <w:ilvl w:val="0"/>
                <w:numId w:val="16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Specialist Teacher Assessor</w:t>
            </w:r>
          </w:p>
        </w:tc>
      </w:tr>
      <w:tr w:rsidR="007301FC" w:rsidRPr="00BB41C4" w:rsidTr="009E553D">
        <w:trPr>
          <w:jc w:val="center"/>
        </w:trPr>
        <w:tc>
          <w:tcPr>
            <w:tcW w:w="1135" w:type="dxa"/>
            <w:shd w:val="clear" w:color="auto" w:fill="99FF99"/>
            <w:vAlign w:val="center"/>
          </w:tcPr>
          <w:p w:rsidR="007301FC" w:rsidRPr="00BB41C4" w:rsidRDefault="007301FC" w:rsidP="009E55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Stage 5</w:t>
            </w:r>
          </w:p>
          <w:p w:rsidR="007301FC" w:rsidRPr="00BB41C4" w:rsidRDefault="007301FC" w:rsidP="009E55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99FF99"/>
            <w:vAlign w:val="center"/>
          </w:tcPr>
          <w:p w:rsidR="007301FC" w:rsidRPr="00BB41C4" w:rsidRDefault="007301FC" w:rsidP="009E55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Specialist Complex</w:t>
            </w:r>
          </w:p>
        </w:tc>
        <w:tc>
          <w:tcPr>
            <w:tcW w:w="6662" w:type="dxa"/>
            <w:shd w:val="clear" w:color="auto" w:fill="99FF99"/>
            <w:vAlign w:val="center"/>
          </w:tcPr>
          <w:p w:rsidR="007301FC" w:rsidRPr="00BB41C4" w:rsidRDefault="007301FC" w:rsidP="007301FC">
            <w:pPr>
              <w:numPr>
                <w:ilvl w:val="0"/>
                <w:numId w:val="16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Specialist Teacher Assessor</w:t>
            </w:r>
          </w:p>
          <w:p w:rsidR="007301FC" w:rsidRPr="00BB41C4" w:rsidRDefault="007301FC" w:rsidP="007301FC">
            <w:pPr>
              <w:numPr>
                <w:ilvl w:val="0"/>
                <w:numId w:val="16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Dyslexia/SpLD Advisor</w:t>
            </w:r>
          </w:p>
          <w:p w:rsidR="007301FC" w:rsidRPr="00BB41C4" w:rsidRDefault="007301FC" w:rsidP="007301FC">
            <w:pPr>
              <w:numPr>
                <w:ilvl w:val="0"/>
                <w:numId w:val="16"/>
              </w:numPr>
              <w:spacing w:after="0" w:line="240" w:lineRule="auto"/>
              <w:ind w:left="353" w:hanging="284"/>
              <w:rPr>
                <w:rFonts w:ascii="Arial" w:hAnsi="Arial" w:cs="Arial"/>
                <w:color w:val="000000"/>
              </w:rPr>
            </w:pPr>
            <w:r w:rsidRPr="00BB41C4">
              <w:rPr>
                <w:rFonts w:ascii="Arial" w:hAnsi="Arial" w:cs="Arial"/>
                <w:color w:val="000000"/>
              </w:rPr>
              <w:t>Dyslexia/SpLD Trainer</w:t>
            </w:r>
          </w:p>
        </w:tc>
      </w:tr>
      <w:bookmarkEnd w:id="0"/>
      <w:bookmarkEnd w:id="1"/>
    </w:tbl>
    <w:p w:rsidR="007301FC" w:rsidRPr="00BB41C4" w:rsidRDefault="007301FC" w:rsidP="007301FC">
      <w:pPr>
        <w:rPr>
          <w:rFonts w:ascii="Arial" w:hAnsi="Arial" w:cs="Arial"/>
          <w:b/>
        </w:rPr>
      </w:pPr>
    </w:p>
    <w:p w:rsidR="00175F0D" w:rsidRDefault="00175F0D" w:rsidP="0013166E">
      <w:pPr>
        <w:rPr>
          <w:rFonts w:ascii="Arial" w:hAnsi="Arial" w:cs="Arial"/>
          <w:b/>
          <w:color w:val="000000"/>
        </w:rPr>
      </w:pPr>
    </w:p>
    <w:p w:rsidR="0013166E" w:rsidRPr="00454525" w:rsidRDefault="00341741" w:rsidP="0013166E">
      <w:pPr>
        <w:rPr>
          <w:rFonts w:ascii="Arial" w:hAnsi="Arial" w:cs="Arial"/>
          <w:b/>
          <w:color w:val="000000"/>
          <w:u w:val="single"/>
        </w:rPr>
      </w:pPr>
      <w:r w:rsidRPr="00175F0D">
        <w:rPr>
          <w:rFonts w:ascii="Arial" w:hAnsi="Arial" w:cs="Arial"/>
          <w:b/>
          <w:i/>
          <w:color w:val="000000"/>
        </w:rPr>
        <w:t>Introducing the Framework</w:t>
      </w:r>
    </w:p>
    <w:p w:rsidR="0013166E" w:rsidRPr="00BB41C4" w:rsidRDefault="00454525" w:rsidP="0013166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B868D0" w:rsidRPr="00BB41C4">
        <w:rPr>
          <w:rFonts w:ascii="Arial" w:hAnsi="Arial" w:cs="Arial"/>
          <w:color w:val="000000"/>
        </w:rPr>
        <w:t xml:space="preserve">he SENCO/CPD Lead </w:t>
      </w:r>
      <w:r>
        <w:rPr>
          <w:rFonts w:ascii="Arial" w:hAnsi="Arial" w:cs="Arial"/>
          <w:color w:val="000000"/>
        </w:rPr>
        <w:t>may use any of the following methods</w:t>
      </w:r>
      <w:r w:rsidR="0013166E" w:rsidRPr="00BB41C4">
        <w:rPr>
          <w:rFonts w:ascii="Arial" w:hAnsi="Arial" w:cs="Arial"/>
          <w:color w:val="000000"/>
        </w:rPr>
        <w:t>:</w:t>
      </w:r>
    </w:p>
    <w:p w:rsidR="0013166E" w:rsidRPr="00BB41C4" w:rsidRDefault="0013166E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Present an overview of the Framework, using a ‘Guided Tour’ Worksheet and ‘Treasure Hunt’ document.</w:t>
      </w:r>
    </w:p>
    <w:p w:rsidR="0013166E" w:rsidRPr="00BB41C4" w:rsidRDefault="0013166E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Explain the structure and content of Framework using ‘Voiced-over presentation’ if required.</w:t>
      </w:r>
    </w:p>
    <w:p w:rsidR="0013166E" w:rsidRPr="00BB41C4" w:rsidRDefault="0013166E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Showcase examples of Resources and additional features, such as ‘upload’ and ‘share’.</w:t>
      </w:r>
    </w:p>
    <w:p w:rsidR="0013166E" w:rsidRPr="00BB41C4" w:rsidRDefault="0013166E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Show staff how to use the Framework for Self-Assessments, using Intro Video if required. This includes looking at a sample Personalised Report.</w:t>
      </w:r>
    </w:p>
    <w:p w:rsidR="0013166E" w:rsidRPr="00BB41C4" w:rsidRDefault="0013166E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 xml:space="preserve">Give professionals an overview of different ways of using the Framework to support CPD, using </w:t>
      </w:r>
      <w:r w:rsidR="00FD6FC3" w:rsidRPr="00BB41C4">
        <w:rPr>
          <w:rFonts w:ascii="Arial" w:hAnsi="Arial" w:cs="Arial"/>
          <w:color w:val="000000"/>
        </w:rPr>
        <w:t>‘</w:t>
      </w:r>
      <w:r w:rsidRPr="00BB41C4">
        <w:rPr>
          <w:rFonts w:ascii="Arial" w:hAnsi="Arial" w:cs="Arial"/>
          <w:color w:val="000000"/>
        </w:rPr>
        <w:t>The Framework Users Guide</w:t>
      </w:r>
      <w:r w:rsidR="00FD6FC3" w:rsidRPr="00BB41C4">
        <w:rPr>
          <w:rFonts w:ascii="Arial" w:hAnsi="Arial" w:cs="Arial"/>
          <w:color w:val="000000"/>
        </w:rPr>
        <w:t>’</w:t>
      </w:r>
      <w:r w:rsidR="00341741" w:rsidRPr="00BB41C4">
        <w:rPr>
          <w:rFonts w:ascii="Arial" w:hAnsi="Arial" w:cs="Arial"/>
          <w:color w:val="000000"/>
        </w:rPr>
        <w:t>.</w:t>
      </w:r>
    </w:p>
    <w:p w:rsidR="0013166E" w:rsidRPr="00BB41C4" w:rsidRDefault="00B868D0" w:rsidP="0013166E">
      <w:pPr>
        <w:rPr>
          <w:rFonts w:ascii="Arial" w:hAnsi="Arial" w:cs="Arial"/>
          <w:b/>
          <w:i/>
          <w:color w:val="000000"/>
        </w:rPr>
      </w:pPr>
      <w:r w:rsidRPr="00BB41C4">
        <w:rPr>
          <w:rFonts w:ascii="Arial" w:hAnsi="Arial" w:cs="Arial"/>
          <w:b/>
          <w:color w:val="000000"/>
        </w:rPr>
        <w:t>Module A</w:t>
      </w:r>
      <w:r w:rsidR="00341741" w:rsidRPr="00BB41C4">
        <w:rPr>
          <w:rFonts w:ascii="Arial" w:hAnsi="Arial" w:cs="Arial"/>
          <w:b/>
          <w:color w:val="000000"/>
        </w:rPr>
        <w:t xml:space="preserve">: </w:t>
      </w:r>
      <w:r w:rsidR="0013166E" w:rsidRPr="00BB41C4">
        <w:rPr>
          <w:rFonts w:ascii="Arial" w:hAnsi="Arial" w:cs="Arial"/>
          <w:b/>
          <w:i/>
          <w:color w:val="000000"/>
        </w:rPr>
        <w:t>Using the Framework to support CPD in Schools</w:t>
      </w:r>
    </w:p>
    <w:p w:rsidR="00341741" w:rsidRPr="00BB41C4" w:rsidRDefault="00B868D0" w:rsidP="0013166E">
      <w:p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Module A shows</w:t>
      </w:r>
      <w:r w:rsidR="00341741" w:rsidRPr="00BB41C4">
        <w:rPr>
          <w:rFonts w:ascii="Arial" w:hAnsi="Arial" w:cs="Arial"/>
          <w:color w:val="000000"/>
        </w:rPr>
        <w:t>:</w:t>
      </w:r>
    </w:p>
    <w:p w:rsidR="0013166E" w:rsidRPr="00BB41C4" w:rsidRDefault="0013166E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How to develop an INSET from personalised reports and/or group report</w:t>
      </w:r>
      <w:r w:rsidR="00341741" w:rsidRPr="00BB41C4">
        <w:rPr>
          <w:rFonts w:ascii="Arial" w:hAnsi="Arial" w:cs="Arial"/>
          <w:color w:val="000000"/>
        </w:rPr>
        <w:t>.</w:t>
      </w:r>
    </w:p>
    <w:p w:rsidR="0013166E" w:rsidRPr="00BB41C4" w:rsidRDefault="0013166E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 xml:space="preserve">How to develop an INSET from a ‘Resource’ based search. </w:t>
      </w:r>
    </w:p>
    <w:p w:rsidR="0013166E" w:rsidRPr="00BB41C4" w:rsidRDefault="00341741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Introduce the ‘Schools’ Page</w:t>
      </w:r>
      <w:r w:rsidR="0013166E" w:rsidRPr="00BB41C4">
        <w:rPr>
          <w:rFonts w:ascii="Arial" w:hAnsi="Arial" w:cs="Arial"/>
          <w:color w:val="000000"/>
        </w:rPr>
        <w:t>.</w:t>
      </w:r>
    </w:p>
    <w:p w:rsidR="0013166E" w:rsidRPr="00BB41C4" w:rsidRDefault="0013166E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lastRenderedPageBreak/>
        <w:t>How to use the Framework to structure a staff team discussion.</w:t>
      </w:r>
    </w:p>
    <w:p w:rsidR="0013166E" w:rsidRPr="00BB41C4" w:rsidRDefault="00341741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Using the Framework for b</w:t>
      </w:r>
      <w:r w:rsidR="0013166E" w:rsidRPr="00BB41C4">
        <w:rPr>
          <w:rFonts w:ascii="Arial" w:hAnsi="Arial" w:cs="Arial"/>
          <w:color w:val="000000"/>
        </w:rPr>
        <w:t>enchmarking the individual teacher and supporting a professional development portfolio.</w:t>
      </w:r>
    </w:p>
    <w:p w:rsidR="004D14C2" w:rsidRDefault="0013166E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 xml:space="preserve">Using the Framework to structure </w:t>
      </w:r>
      <w:r w:rsidR="00341741" w:rsidRPr="00BB41C4">
        <w:rPr>
          <w:rFonts w:ascii="Arial" w:hAnsi="Arial" w:cs="Arial"/>
          <w:color w:val="000000"/>
        </w:rPr>
        <w:t>staff team workplace activities</w:t>
      </w:r>
    </w:p>
    <w:p w:rsidR="0013166E" w:rsidRPr="00BB41C4" w:rsidRDefault="004D14C2" w:rsidP="0013166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Using the Framework to structure school development plans</w:t>
      </w:r>
      <w:r w:rsidR="00341741" w:rsidRPr="00BB41C4">
        <w:rPr>
          <w:rFonts w:ascii="Arial" w:hAnsi="Arial" w:cs="Arial"/>
          <w:color w:val="000000"/>
        </w:rPr>
        <w:t>.</w:t>
      </w:r>
    </w:p>
    <w:p w:rsidR="00341741" w:rsidRPr="00BB41C4" w:rsidRDefault="00341741" w:rsidP="004D14C2">
      <w:pPr>
        <w:pStyle w:val="ListParagraph"/>
        <w:rPr>
          <w:rFonts w:ascii="Arial" w:hAnsi="Arial" w:cs="Arial"/>
          <w:color w:val="000000"/>
        </w:rPr>
      </w:pPr>
    </w:p>
    <w:p w:rsidR="00B868D0" w:rsidRPr="00BB41C4" w:rsidRDefault="00FD6FC3" w:rsidP="00B868D0">
      <w:pPr>
        <w:rPr>
          <w:rFonts w:ascii="Arial" w:hAnsi="Arial" w:cs="Arial"/>
          <w:b/>
          <w:i/>
          <w:color w:val="000000"/>
        </w:rPr>
      </w:pPr>
      <w:r w:rsidRPr="00BB41C4">
        <w:rPr>
          <w:rFonts w:ascii="Arial" w:hAnsi="Arial" w:cs="Arial"/>
          <w:b/>
          <w:color w:val="000000"/>
        </w:rPr>
        <w:t xml:space="preserve">Module </w:t>
      </w:r>
      <w:r w:rsidR="00BB41C4" w:rsidRPr="00BB41C4">
        <w:rPr>
          <w:rFonts w:ascii="Arial" w:hAnsi="Arial" w:cs="Arial"/>
          <w:b/>
          <w:color w:val="000000"/>
        </w:rPr>
        <w:t>B</w:t>
      </w:r>
      <w:r w:rsidR="00B868D0" w:rsidRPr="00BB41C4">
        <w:rPr>
          <w:rFonts w:ascii="Arial" w:hAnsi="Arial" w:cs="Arial"/>
          <w:b/>
          <w:i/>
          <w:color w:val="000000"/>
        </w:rPr>
        <w:t>: Using the Framework in Initial Teacher Training</w:t>
      </w:r>
    </w:p>
    <w:p w:rsidR="00B868D0" w:rsidRPr="00BB41C4" w:rsidRDefault="00B868D0" w:rsidP="00B868D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Benchmarking Student Progress – before and after taking course</w:t>
      </w:r>
      <w:r w:rsidR="00FD6FC3" w:rsidRPr="00BB41C4">
        <w:rPr>
          <w:rFonts w:ascii="Arial" w:hAnsi="Arial" w:cs="Arial"/>
          <w:color w:val="000000"/>
        </w:rPr>
        <w:t xml:space="preserve"> or training programme</w:t>
      </w:r>
    </w:p>
    <w:p w:rsidR="00B868D0" w:rsidRPr="00BB41C4" w:rsidRDefault="00B868D0" w:rsidP="00B868D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Using the Framework to structure assignments</w:t>
      </w:r>
    </w:p>
    <w:p w:rsidR="00B868D0" w:rsidRPr="00BB41C4" w:rsidRDefault="00B868D0" w:rsidP="00B868D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Evaluating the content of an existing course</w:t>
      </w:r>
    </w:p>
    <w:p w:rsidR="00B868D0" w:rsidRPr="00BB41C4" w:rsidRDefault="00B868D0" w:rsidP="00B868D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Writing new courses</w:t>
      </w:r>
    </w:p>
    <w:p w:rsidR="0013166E" w:rsidRPr="00BB41C4" w:rsidRDefault="0013166E" w:rsidP="0013166E">
      <w:pPr>
        <w:rPr>
          <w:rFonts w:ascii="Arial" w:hAnsi="Arial" w:cs="Arial"/>
          <w:b/>
          <w:color w:val="000000"/>
        </w:rPr>
      </w:pPr>
      <w:r w:rsidRPr="00BB41C4">
        <w:rPr>
          <w:rFonts w:ascii="Arial" w:hAnsi="Arial" w:cs="Arial"/>
          <w:b/>
          <w:color w:val="000000"/>
        </w:rPr>
        <w:t>Additional materials</w:t>
      </w:r>
      <w:r w:rsidR="004D14C2">
        <w:rPr>
          <w:rFonts w:ascii="Arial" w:hAnsi="Arial" w:cs="Arial"/>
          <w:b/>
          <w:color w:val="000000"/>
        </w:rPr>
        <w:t xml:space="preserve"> available to download</w:t>
      </w:r>
      <w:r w:rsidRPr="00BB41C4">
        <w:rPr>
          <w:rFonts w:ascii="Arial" w:hAnsi="Arial" w:cs="Arial"/>
          <w:b/>
          <w:color w:val="000000"/>
        </w:rPr>
        <w:t>:</w:t>
      </w:r>
    </w:p>
    <w:p w:rsidR="00FD6FC3" w:rsidRPr="00BB41C4" w:rsidRDefault="0013166E" w:rsidP="0013166E">
      <w:p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PowerPoint Presentation on Phonics Screening Check</w:t>
      </w:r>
    </w:p>
    <w:p w:rsidR="0013166E" w:rsidRPr="00BB41C4" w:rsidRDefault="0013166E" w:rsidP="0013166E">
      <w:pPr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PowerPoint Presentation on Using the Framework for Personalised Professional Development: Theories of Dyslexia</w:t>
      </w:r>
    </w:p>
    <w:p w:rsidR="00175F0D" w:rsidRDefault="0097512B" w:rsidP="0013166E">
      <w:pPr>
        <w:rPr>
          <w:rFonts w:ascii="Arial" w:hAnsi="Arial" w:cs="Arial"/>
          <w:b/>
          <w:i/>
        </w:rPr>
      </w:pPr>
      <w:r w:rsidRPr="00BB41C4">
        <w:rPr>
          <w:rFonts w:ascii="Arial" w:hAnsi="Arial" w:cs="Arial"/>
        </w:rPr>
        <w:t xml:space="preserve">The Framework itself is the bulk of the resource. All other documents will be a </w:t>
      </w:r>
      <w:r w:rsidRPr="00BB41C4">
        <w:rPr>
          <w:rFonts w:ascii="Arial" w:hAnsi="Arial" w:cs="Arial"/>
          <w:b/>
          <w:i/>
        </w:rPr>
        <w:t xml:space="preserve">downloadable resource.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5F0D" w:rsidTr="00175F0D">
        <w:tc>
          <w:tcPr>
            <w:tcW w:w="9242" w:type="dxa"/>
          </w:tcPr>
          <w:p w:rsidR="00175F0D" w:rsidRDefault="00175F0D" w:rsidP="00131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estimated that the full programme, comprising of the Core Module, plus Module A </w:t>
            </w:r>
            <w:r w:rsidR="004D14C2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>or Module B (depending on audience) would take half a day to complete. Flexibility is possible and this can be extended or modified according to need.</w:t>
            </w:r>
          </w:p>
        </w:tc>
      </w:tr>
    </w:tbl>
    <w:p w:rsidR="00175F0D" w:rsidRPr="00175F0D" w:rsidRDefault="00175F0D" w:rsidP="0013166E">
      <w:pPr>
        <w:rPr>
          <w:rFonts w:ascii="Arial" w:hAnsi="Arial" w:cs="Arial"/>
        </w:rPr>
      </w:pPr>
    </w:p>
    <w:p w:rsidR="00FD6FC3" w:rsidRPr="004D14C2" w:rsidRDefault="00FD6FC3" w:rsidP="004D14C2">
      <w:pPr>
        <w:rPr>
          <w:rFonts w:ascii="Arial" w:hAnsi="Arial" w:cs="Arial"/>
          <w:b/>
          <w:color w:val="000000"/>
        </w:rPr>
      </w:pPr>
    </w:p>
    <w:p w:rsidR="00FD6FC3" w:rsidRPr="00BB41C4" w:rsidRDefault="00FD6FC3" w:rsidP="00FD6FC3">
      <w:pPr>
        <w:pStyle w:val="ListParagraph"/>
        <w:rPr>
          <w:rFonts w:ascii="Arial" w:hAnsi="Arial" w:cs="Arial"/>
          <w:color w:val="000000"/>
        </w:rPr>
      </w:pPr>
    </w:p>
    <w:p w:rsidR="00FD6FC3" w:rsidRPr="00BB41C4" w:rsidRDefault="00FD6FC3" w:rsidP="00FD6FC3">
      <w:pPr>
        <w:pStyle w:val="ListParagraph"/>
        <w:rPr>
          <w:rFonts w:ascii="Arial" w:hAnsi="Arial" w:cs="Arial"/>
          <w:color w:val="000000"/>
        </w:rPr>
      </w:pPr>
    </w:p>
    <w:p w:rsidR="00FD6FC3" w:rsidRPr="00BB41C4" w:rsidRDefault="00FD6FC3" w:rsidP="00FD6FC3">
      <w:pPr>
        <w:pStyle w:val="ListParagraph"/>
        <w:rPr>
          <w:rFonts w:ascii="Arial" w:hAnsi="Arial" w:cs="Arial"/>
          <w:color w:val="000000"/>
        </w:rPr>
      </w:pPr>
      <w:r w:rsidRPr="00BB41C4">
        <w:rPr>
          <w:rFonts w:ascii="Arial" w:hAnsi="Arial" w:cs="Arial"/>
          <w:color w:val="000000"/>
        </w:rPr>
        <w:t>Project Principal Researcher: Dr. Amelia Roberts</w:t>
      </w:r>
    </w:p>
    <w:p w:rsidR="00FD6FC3" w:rsidRPr="00BB41C4" w:rsidRDefault="0075028D" w:rsidP="00FD6FC3">
      <w:pPr>
        <w:pStyle w:val="ListParagraph"/>
        <w:rPr>
          <w:rFonts w:ascii="Verdana" w:hAnsi="Verdana" w:cs="Tahoma"/>
          <w:color w:val="000000"/>
          <w:sz w:val="24"/>
          <w:szCs w:val="24"/>
        </w:rPr>
      </w:pPr>
      <w:hyperlink r:id="rId8" w:history="1">
        <w:r w:rsidRPr="004E168E">
          <w:rPr>
            <w:rStyle w:val="Hyperlink"/>
            <w:rFonts w:ascii="Arial" w:hAnsi="Arial" w:cs="Arial"/>
          </w:rPr>
          <w:t>training@thedyslexia-spldtrust.org.uk</w:t>
        </w:r>
      </w:hyperlink>
      <w:r w:rsidR="00FD6FC3" w:rsidRPr="00BB41C4">
        <w:rPr>
          <w:rFonts w:ascii="Verdana" w:hAnsi="Verdana" w:cs="Tahoma"/>
          <w:color w:val="000000"/>
          <w:sz w:val="24"/>
          <w:szCs w:val="24"/>
        </w:rPr>
        <w:t xml:space="preserve">  </w:t>
      </w:r>
    </w:p>
    <w:sectPr w:rsidR="00FD6FC3" w:rsidRPr="00BB41C4" w:rsidSect="00BB4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1C" w:rsidRDefault="00C77F1C" w:rsidP="00A40DCC">
      <w:pPr>
        <w:spacing w:after="0" w:line="240" w:lineRule="auto"/>
      </w:pPr>
      <w:r>
        <w:separator/>
      </w:r>
    </w:p>
  </w:endnote>
  <w:endnote w:type="continuationSeparator" w:id="0">
    <w:p w:rsidR="00C77F1C" w:rsidRDefault="00C77F1C" w:rsidP="00A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8D" w:rsidRDefault="00750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8D" w:rsidRDefault="0075028D" w:rsidP="0075028D">
    <w:pPr>
      <w:pStyle w:val="Footer"/>
      <w:tabs>
        <w:tab w:val="clear" w:pos="9026"/>
        <w:tab w:val="right" w:pos="13325"/>
      </w:tabs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93CEE" wp14:editId="3B6378C3">
              <wp:simplePos x="0" y="0"/>
              <wp:positionH relativeFrom="column">
                <wp:posOffset>-331470</wp:posOffset>
              </wp:positionH>
              <wp:positionV relativeFrom="paragraph">
                <wp:posOffset>72021</wp:posOffset>
              </wp:positionV>
              <wp:extent cx="6486525" cy="0"/>
              <wp:effectExtent l="9525" t="5715" r="9525" b="13335"/>
              <wp:wrapNone/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10662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5.65pt" to="484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" strokecolor="#4579b8"/>
          </w:pict>
        </mc:Fallback>
      </mc:AlternateContent>
    </w:r>
  </w:p>
  <w:p w:rsidR="00A40DCC" w:rsidRPr="00A40DCC" w:rsidRDefault="0075028D" w:rsidP="0075028D">
    <w:pPr>
      <w:pStyle w:val="Footer"/>
      <w:tabs>
        <w:tab w:val="clear" w:pos="9026"/>
        <w:tab w:val="right" w:pos="13325"/>
      </w:tabs>
      <w:jc w:val="center"/>
      <w:rPr>
        <w:sz w:val="20"/>
      </w:rPr>
    </w:pPr>
    <w:bookmarkStart w:id="2" w:name="_GoBack"/>
    <w:r>
      <w:rPr>
        <w:noProof/>
        <w:sz w:val="20"/>
      </w:rPr>
      <w:drawing>
        <wp:inline distT="0" distB="0" distL="0" distR="0" wp14:anchorId="31B56F07">
          <wp:extent cx="3871595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8D" w:rsidRDefault="00750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1C" w:rsidRDefault="00C77F1C" w:rsidP="00A40DCC">
      <w:pPr>
        <w:spacing w:after="0" w:line="240" w:lineRule="auto"/>
      </w:pPr>
      <w:r>
        <w:separator/>
      </w:r>
    </w:p>
  </w:footnote>
  <w:footnote w:type="continuationSeparator" w:id="0">
    <w:p w:rsidR="00C77F1C" w:rsidRDefault="00C77F1C" w:rsidP="00A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8D" w:rsidRDefault="00750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8D" w:rsidRDefault="0075028D" w:rsidP="0075028D">
    <w:pPr>
      <w:pStyle w:val="Header"/>
      <w:jc w:val="right"/>
    </w:pPr>
    <w:r>
      <w:rPr>
        <w:noProof/>
      </w:rPr>
      <w:drawing>
        <wp:inline distT="0" distB="0" distL="0" distR="0" wp14:anchorId="589B0765" wp14:editId="4E779039">
          <wp:extent cx="1246984" cy="435077"/>
          <wp:effectExtent l="0" t="0" r="0" b="3175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221" cy="43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8D" w:rsidRDefault="00750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5944"/>
    <w:multiLevelType w:val="hybridMultilevel"/>
    <w:tmpl w:val="E1622678"/>
    <w:lvl w:ilvl="0" w:tplc="4B767B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5198"/>
    <w:multiLevelType w:val="hybridMultilevel"/>
    <w:tmpl w:val="0D5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2002"/>
    <w:multiLevelType w:val="hybridMultilevel"/>
    <w:tmpl w:val="2892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6575"/>
    <w:multiLevelType w:val="hybridMultilevel"/>
    <w:tmpl w:val="2786BCF2"/>
    <w:lvl w:ilvl="0" w:tplc="3D706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E18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E80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EAD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B2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E8D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4BB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8B7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C2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D224D"/>
    <w:multiLevelType w:val="hybridMultilevel"/>
    <w:tmpl w:val="BB1487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10646"/>
    <w:multiLevelType w:val="hybridMultilevel"/>
    <w:tmpl w:val="5A2EFF32"/>
    <w:lvl w:ilvl="0" w:tplc="426804FC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45567F"/>
    <w:multiLevelType w:val="hybridMultilevel"/>
    <w:tmpl w:val="749E4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571F46"/>
    <w:multiLevelType w:val="hybridMultilevel"/>
    <w:tmpl w:val="9D1A884E"/>
    <w:lvl w:ilvl="0" w:tplc="BE6015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4F95"/>
    <w:multiLevelType w:val="multilevel"/>
    <w:tmpl w:val="B75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285812"/>
    <w:multiLevelType w:val="hybridMultilevel"/>
    <w:tmpl w:val="7B24A710"/>
    <w:lvl w:ilvl="0" w:tplc="B9B011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576E7"/>
    <w:multiLevelType w:val="hybridMultilevel"/>
    <w:tmpl w:val="AEF8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BE7D71"/>
    <w:multiLevelType w:val="hybridMultilevel"/>
    <w:tmpl w:val="720C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E6D2F"/>
    <w:multiLevelType w:val="hybridMultilevel"/>
    <w:tmpl w:val="0710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216A"/>
    <w:multiLevelType w:val="hybridMultilevel"/>
    <w:tmpl w:val="4634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431875"/>
    <w:multiLevelType w:val="hybridMultilevel"/>
    <w:tmpl w:val="64D01488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8C626C"/>
    <w:multiLevelType w:val="hybridMultilevel"/>
    <w:tmpl w:val="147A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E2C9A"/>
    <w:multiLevelType w:val="hybridMultilevel"/>
    <w:tmpl w:val="F69A0CCC"/>
    <w:lvl w:ilvl="0" w:tplc="0BB0C7D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72825"/>
    <w:multiLevelType w:val="hybridMultilevel"/>
    <w:tmpl w:val="C0423794"/>
    <w:lvl w:ilvl="0" w:tplc="79787B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15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16"/>
  </w:num>
  <w:num w:numId="13">
    <w:abstractNumId w:val="17"/>
  </w:num>
  <w:num w:numId="14">
    <w:abstractNumId w:val="6"/>
  </w:num>
  <w:num w:numId="15">
    <w:abstractNumId w:val="13"/>
  </w:num>
  <w:num w:numId="16">
    <w:abstractNumId w:val="10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82"/>
    <w:rsid w:val="00015B77"/>
    <w:rsid w:val="00034BC4"/>
    <w:rsid w:val="0006306D"/>
    <w:rsid w:val="000F3581"/>
    <w:rsid w:val="0013166E"/>
    <w:rsid w:val="0016633D"/>
    <w:rsid w:val="00175F0D"/>
    <w:rsid w:val="001839A4"/>
    <w:rsid w:val="0020280F"/>
    <w:rsid w:val="002247C9"/>
    <w:rsid w:val="00243E46"/>
    <w:rsid w:val="00244A2A"/>
    <w:rsid w:val="00264B73"/>
    <w:rsid w:val="002A4BF5"/>
    <w:rsid w:val="002B728F"/>
    <w:rsid w:val="002F0D1B"/>
    <w:rsid w:val="00341741"/>
    <w:rsid w:val="00343F13"/>
    <w:rsid w:val="003505F5"/>
    <w:rsid w:val="003E3A84"/>
    <w:rsid w:val="00415ABA"/>
    <w:rsid w:val="00454525"/>
    <w:rsid w:val="00480EB4"/>
    <w:rsid w:val="004946F0"/>
    <w:rsid w:val="004A1808"/>
    <w:rsid w:val="004C216C"/>
    <w:rsid w:val="004D14C2"/>
    <w:rsid w:val="00560797"/>
    <w:rsid w:val="006B3F8E"/>
    <w:rsid w:val="006F218D"/>
    <w:rsid w:val="00714511"/>
    <w:rsid w:val="007301FC"/>
    <w:rsid w:val="00743301"/>
    <w:rsid w:val="0075028D"/>
    <w:rsid w:val="0075262A"/>
    <w:rsid w:val="00753DB0"/>
    <w:rsid w:val="0075589B"/>
    <w:rsid w:val="007F54F9"/>
    <w:rsid w:val="00816859"/>
    <w:rsid w:val="00832EB0"/>
    <w:rsid w:val="00856BC2"/>
    <w:rsid w:val="00871198"/>
    <w:rsid w:val="00886265"/>
    <w:rsid w:val="008F357C"/>
    <w:rsid w:val="00965F50"/>
    <w:rsid w:val="0097512B"/>
    <w:rsid w:val="0098289D"/>
    <w:rsid w:val="00A40DCC"/>
    <w:rsid w:val="00A87A4D"/>
    <w:rsid w:val="00A91491"/>
    <w:rsid w:val="00A93A7E"/>
    <w:rsid w:val="00AB6082"/>
    <w:rsid w:val="00B4610C"/>
    <w:rsid w:val="00B779BE"/>
    <w:rsid w:val="00B839D6"/>
    <w:rsid w:val="00B868D0"/>
    <w:rsid w:val="00BB41C4"/>
    <w:rsid w:val="00C33442"/>
    <w:rsid w:val="00C60986"/>
    <w:rsid w:val="00C77F1C"/>
    <w:rsid w:val="00C91282"/>
    <w:rsid w:val="00CC658A"/>
    <w:rsid w:val="00D30F60"/>
    <w:rsid w:val="00D70F00"/>
    <w:rsid w:val="00DD11B2"/>
    <w:rsid w:val="00E729EB"/>
    <w:rsid w:val="00E77BFA"/>
    <w:rsid w:val="00EB673B"/>
    <w:rsid w:val="00EC6341"/>
    <w:rsid w:val="00EE1CB6"/>
    <w:rsid w:val="00F3500D"/>
    <w:rsid w:val="00FD6FC3"/>
    <w:rsid w:val="00FD7D37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5CCC89-AC97-4AB2-B0EB-9AAE767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46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0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61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0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01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301FC"/>
    <w:pPr>
      <w:spacing w:after="0" w:line="240" w:lineRule="auto"/>
    </w:pPr>
  </w:style>
  <w:style w:type="table" w:styleId="TableGrid">
    <w:name w:val="Table Grid"/>
    <w:basedOn w:val="TableNormal"/>
    <w:uiPriority w:val="59"/>
    <w:rsid w:val="0013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F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0F3581"/>
  </w:style>
  <w:style w:type="paragraph" w:styleId="Header">
    <w:name w:val="header"/>
    <w:basedOn w:val="Normal"/>
    <w:link w:val="HeaderChar"/>
    <w:uiPriority w:val="99"/>
    <w:unhideWhenUsed/>
    <w:rsid w:val="00A4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CC"/>
  </w:style>
  <w:style w:type="paragraph" w:styleId="Footer">
    <w:name w:val="footer"/>
    <w:basedOn w:val="Normal"/>
    <w:link w:val="FooterChar"/>
    <w:uiPriority w:val="99"/>
    <w:unhideWhenUsed/>
    <w:rsid w:val="00A4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hedyslexia-spldtrust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ramework.thedyslexia-spldtrust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F2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Worcestershire College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EMHC</dc:creator>
  <cp:lastModifiedBy>Lynn Greenwold</cp:lastModifiedBy>
  <cp:revision>2</cp:revision>
  <cp:lastPrinted>2013-05-09T13:08:00Z</cp:lastPrinted>
  <dcterms:created xsi:type="dcterms:W3CDTF">2015-06-11T15:38:00Z</dcterms:created>
  <dcterms:modified xsi:type="dcterms:W3CDTF">2015-06-11T15:38:00Z</dcterms:modified>
</cp:coreProperties>
</file>